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322" w:line="240" w:lineRule="auto"/>
        <w:ind w:left="0" w:right="0" w:firstLine="0"/>
        <w:jc w:val="left"/>
        <w:rPr>
          <w:rFonts w:ascii="Arial" w:hAnsi="Arial"/>
          <w:b w:val="1"/>
          <w:bCs w:val="1"/>
          <w:sz w:val="48"/>
          <w:szCs w:val="48"/>
          <w:rtl w:val="0"/>
        </w:rPr>
      </w:pPr>
    </w:p>
    <w:p>
      <w:pPr>
        <w:pStyle w:val="Default"/>
        <w:bidi w:val="0"/>
        <w:spacing w:before="0" w:after="322" w:line="240" w:lineRule="auto"/>
        <w:ind w:left="0" w:right="0" w:firstLine="0"/>
        <w:jc w:val="left"/>
        <w:rPr>
          <w:rFonts w:ascii="Arial" w:hAnsi="Arial"/>
          <w:b w:val="1"/>
          <w:bCs w:val="1"/>
          <w:sz w:val="48"/>
          <w:szCs w:val="48"/>
          <w:rtl w:val="0"/>
        </w:rPr>
      </w:pPr>
    </w:p>
    <w:p>
      <w:pPr>
        <w:pStyle w:val="Default"/>
        <w:bidi w:val="0"/>
        <w:spacing w:before="0" w:after="322" w:line="240" w:lineRule="auto"/>
        <w:ind w:left="0" w:right="0" w:firstLine="0"/>
        <w:jc w:val="left"/>
        <w:rPr>
          <w:rFonts w:ascii="Arial" w:hAnsi="Arial"/>
          <w:b w:val="1"/>
          <w:bCs w:val="1"/>
          <w:sz w:val="48"/>
          <w:szCs w:val="48"/>
          <w:rtl w:val="0"/>
        </w:rPr>
      </w:pPr>
    </w:p>
    <w:p>
      <w:pPr>
        <w:pStyle w:val="Default"/>
        <w:bidi w:val="0"/>
        <w:spacing w:before="0" w:after="322" w:line="240" w:lineRule="auto"/>
        <w:ind w:left="0" w:right="0" w:firstLine="0"/>
        <w:jc w:val="left"/>
        <w:rPr>
          <w:rFonts w:ascii="Arial" w:hAnsi="Arial"/>
          <w:b w:val="1"/>
          <w:bCs w:val="1"/>
          <w:sz w:val="48"/>
          <w:szCs w:val="48"/>
          <w:rtl w:val="0"/>
        </w:rPr>
      </w:pPr>
    </w:p>
    <w:p>
      <w:pPr>
        <w:pStyle w:val="Default"/>
        <w:bidi w:val="0"/>
        <w:spacing w:before="0" w:after="322" w:line="240" w:lineRule="auto"/>
        <w:ind w:left="0" w:right="0" w:firstLine="0"/>
        <w:jc w:val="left"/>
        <w:rPr>
          <w:rFonts w:ascii="Arial" w:cs="Arial" w:hAnsi="Arial" w:eastAsia="Arial"/>
          <w:b w:val="1"/>
          <w:bCs w:val="1"/>
          <w:sz w:val="48"/>
          <w:szCs w:val="48"/>
          <w:rtl w:val="0"/>
        </w:rPr>
      </w:pPr>
      <w:r>
        <w:rPr>
          <w:rFonts w:ascii="Arial" w:hAnsi="Arial"/>
          <w:b w:val="1"/>
          <w:bCs w:val="1"/>
          <w:sz w:val="48"/>
          <w:szCs w:val="48"/>
          <w:rtl w:val="0"/>
          <w:lang w:val="en-US"/>
        </w:rPr>
        <w:t>Choreography To Go</w:t>
      </w:r>
      <w:r>
        <w:rPr>
          <w:rFonts w:ascii="Arial" w:cs="Arial" w:hAnsi="Arial" w:eastAsia="Arial"/>
          <w:b w:val="1"/>
          <w:bCs w:val="1"/>
          <w:sz w:val="48"/>
          <w:szCs w:val="48"/>
          <w:rtl w:val="0"/>
        </w:rPr>
        <w:drawing xmlns:a="http://schemas.openxmlformats.org/drawingml/2006/main">
          <wp:anchor distT="152400" distB="152400" distL="152400" distR="152400" simplePos="0" relativeHeight="251659264" behindDoc="0" locked="0" layoutInCell="1" allowOverlap="1">
            <wp:simplePos x="0" y="0"/>
            <wp:positionH relativeFrom="margin">
              <wp:posOffset>292933</wp:posOffset>
            </wp:positionH>
            <wp:positionV relativeFrom="page">
              <wp:posOffset>623054</wp:posOffset>
            </wp:positionV>
            <wp:extent cx="1854200" cy="1879600"/>
            <wp:effectExtent l="0" t="0" r="0" b="0"/>
            <wp:wrapThrough wrapText="bothSides" distL="152400" distR="152400">
              <wp:wrapPolygon edited="1">
                <wp:start x="0" y="0"/>
                <wp:lineTo x="21600" y="0"/>
                <wp:lineTo x="21600" y="21600"/>
                <wp:lineTo x="0" y="21600"/>
                <wp:lineTo x="0" y="0"/>
              </wp:wrapPolygon>
            </wp:wrapThrough>
            <wp:docPr id="1073741825" name="officeArt object" descr="C2Go_FB_logo-1.jpg"/>
            <wp:cNvGraphicFramePr/>
            <a:graphic xmlns:a="http://schemas.openxmlformats.org/drawingml/2006/main">
              <a:graphicData uri="http://schemas.openxmlformats.org/drawingml/2006/picture">
                <pic:pic xmlns:pic="http://schemas.openxmlformats.org/drawingml/2006/picture">
                  <pic:nvPicPr>
                    <pic:cNvPr id="1073741825" name="C2Go_FB_logo-1.jpg" descr="C2Go_FB_logo-1.jpg"/>
                    <pic:cNvPicPr>
                      <a:picLocks noChangeAspect="1"/>
                    </pic:cNvPicPr>
                  </pic:nvPicPr>
                  <pic:blipFill>
                    <a:blip r:embed="rId4">
                      <a:extLst/>
                    </a:blip>
                    <a:stretch>
                      <a:fillRect/>
                    </a:stretch>
                  </pic:blipFill>
                  <pic:spPr>
                    <a:xfrm>
                      <a:off x="0" y="0"/>
                      <a:ext cx="1854200" cy="1879600"/>
                    </a:xfrm>
                    <a:prstGeom prst="rect">
                      <a:avLst/>
                    </a:prstGeom>
                    <a:ln w="12700" cap="flat">
                      <a:noFill/>
                      <a:miter lim="400000"/>
                    </a:ln>
                    <a:effectLst/>
                  </pic:spPr>
                </pic:pic>
              </a:graphicData>
            </a:graphic>
          </wp:anchor>
        </w:drawing>
      </w:r>
    </w:p>
    <w:p>
      <w:pPr>
        <w:pStyle w:val="Default"/>
        <w:bidi w:val="0"/>
        <w:spacing w:before="0" w:after="322" w:line="240" w:lineRule="auto"/>
        <w:ind w:left="0" w:right="0" w:firstLine="0"/>
        <w:jc w:val="left"/>
        <w:rPr>
          <w:rFonts w:ascii="Arial" w:cs="Arial" w:hAnsi="Arial" w:eastAsia="Arial"/>
          <w:b w:val="1"/>
          <w:bCs w:val="1"/>
          <w:sz w:val="48"/>
          <w:szCs w:val="48"/>
          <w:rtl w:val="0"/>
        </w:rPr>
      </w:pP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Equal Opportunities and Diversity Policy**</w:t>
      </w:r>
    </w:p>
    <w:p>
      <w:pPr>
        <w:pStyle w:val="Default"/>
        <w:bidi w:val="0"/>
        <w:spacing w:before="0" w:after="299"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Policy Statement</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Choreography To Go is committed to creating and maintaining an environment in which diversity is recognised, valued, and supported. We acknowledge the multicultural and diverse nature of the UK workforce and society, and we actively promote fairness, respect, and individual responsibility in all areas of our work. These principles underpin our approach to recruitment, course delivery, assessment, and quality assurance.</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We recognise that discrimination in the workplace or throughout the training process is unacceptable and, in many cases, unlawful. Any breach of this policy will be taken seriously, investigated promptly, and appropriate action taken where necessary.</w:t>
      </w:r>
    </w:p>
    <w:p>
      <w:pPr>
        <w:pStyle w:val="Default"/>
        <w:bidi w:val="0"/>
        <w:spacing w:before="0" w:line="240" w:lineRule="auto"/>
        <w:ind w:left="0" w:right="0" w:firstLine="0"/>
        <w:jc w:val="left"/>
        <w:rPr>
          <w:rFonts w:ascii="Arial" w:cs="Arial" w:hAnsi="Arial" w:eastAsia="Arial"/>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Definitions and Protected Characteristics</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No learner</w:t>
      </w:r>
      <w:r>
        <w:rPr>
          <w:rFonts w:ascii="Arial" w:hAnsi="Arial" w:hint="default"/>
          <w:rtl w:val="0"/>
          <w:lang w:val="en-US"/>
        </w:rPr>
        <w:t>—</w:t>
      </w:r>
      <w:r>
        <w:rPr>
          <w:rFonts w:ascii="Arial" w:hAnsi="Arial"/>
          <w:rtl w:val="0"/>
          <w:lang w:val="en-US"/>
        </w:rPr>
        <w:t>or any individual we engage with</w:t>
      </w:r>
      <w:r>
        <w:rPr>
          <w:rFonts w:ascii="Arial" w:hAnsi="Arial" w:hint="default"/>
          <w:rtl w:val="0"/>
          <w:lang w:val="en-US"/>
        </w:rPr>
        <w:t>—</w:t>
      </w:r>
      <w:r>
        <w:rPr>
          <w:rFonts w:ascii="Arial" w:hAnsi="Arial"/>
          <w:rtl w:val="0"/>
          <w:lang w:val="en-US"/>
        </w:rPr>
        <w:t>will receive less favourable treatment because of a protected characteristic. These characteristics include:</w:t>
      </w:r>
    </w:p>
    <w:p>
      <w:pPr>
        <w:pStyle w:val="Default"/>
        <w:numPr>
          <w:ilvl w:val="0"/>
          <w:numId w:val="2"/>
        </w:numPr>
        <w:bidi w:val="0"/>
        <w:spacing w:before="0" w:after="240" w:line="240" w:lineRule="auto"/>
        <w:ind w:right="0"/>
        <w:jc w:val="left"/>
        <w:rPr>
          <w:rFonts w:ascii="Arial" w:hAnsi="Arial"/>
          <w:rtl w:val="0"/>
        </w:rPr>
      </w:pPr>
      <w:r>
        <w:rPr>
          <w:rFonts w:ascii="Arial" w:hAnsi="Arial"/>
          <w:rtl w:val="0"/>
        </w:rPr>
        <w:t>Age</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Disability</w:t>
      </w:r>
    </w:p>
    <w:p>
      <w:pPr>
        <w:pStyle w:val="Default"/>
        <w:numPr>
          <w:ilvl w:val="0"/>
          <w:numId w:val="2"/>
        </w:numPr>
        <w:bidi w:val="0"/>
        <w:spacing w:before="0" w:after="240" w:line="240" w:lineRule="auto"/>
        <w:ind w:right="0"/>
        <w:jc w:val="left"/>
        <w:rPr>
          <w:rFonts w:ascii="Arial" w:hAnsi="Arial"/>
          <w:rtl w:val="0"/>
          <w:lang w:val="de-DE"/>
        </w:rPr>
      </w:pPr>
      <w:r>
        <w:rPr>
          <w:rFonts w:ascii="Arial" w:hAnsi="Arial"/>
          <w:rtl w:val="0"/>
          <w:lang w:val="de-DE"/>
        </w:rPr>
        <w:t>Gender Reassignment</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Marriage and Civil Partnership</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Pregnancy and Maternity</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Race (including colour, nationality, ethnic or national origin)</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Religion or Belief</w:t>
      </w:r>
    </w:p>
    <w:p>
      <w:pPr>
        <w:pStyle w:val="Default"/>
        <w:numPr>
          <w:ilvl w:val="0"/>
          <w:numId w:val="2"/>
        </w:numPr>
        <w:bidi w:val="0"/>
        <w:spacing w:before="0" w:after="240" w:line="240" w:lineRule="auto"/>
        <w:ind w:right="0"/>
        <w:jc w:val="left"/>
        <w:rPr>
          <w:rFonts w:ascii="Arial" w:hAnsi="Arial"/>
          <w:rtl w:val="0"/>
        </w:rPr>
      </w:pPr>
      <w:r>
        <w:rPr>
          <w:rFonts w:ascii="Arial" w:hAnsi="Arial"/>
          <w:rtl w:val="0"/>
        </w:rPr>
        <w:t>Sex</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Sexual Orientation</w:t>
      </w:r>
    </w:p>
    <w:p>
      <w:pPr>
        <w:pStyle w:val="Default"/>
        <w:bidi w:val="0"/>
        <w:spacing w:before="0" w:line="240" w:lineRule="auto"/>
        <w:ind w:left="0" w:right="0" w:firstLine="0"/>
        <w:jc w:val="left"/>
        <w:rPr>
          <w:rFonts w:ascii="Arial" w:cs="Arial" w:hAnsi="Arial" w:eastAsia="Arial"/>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Choreography To Go</w:t>
      </w:r>
      <w:r>
        <w:rPr>
          <w:rFonts w:ascii="Arial" w:hAnsi="Arial" w:hint="default"/>
          <w:b w:val="1"/>
          <w:bCs w:val="1"/>
          <w:sz w:val="36"/>
          <w:szCs w:val="36"/>
          <w:rtl w:val="1"/>
        </w:rPr>
        <w:t>’</w:t>
      </w:r>
      <w:r>
        <w:rPr>
          <w:rFonts w:ascii="Arial" w:hAnsi="Arial"/>
          <w:b w:val="1"/>
          <w:bCs w:val="1"/>
          <w:sz w:val="36"/>
          <w:szCs w:val="36"/>
          <w:rtl w:val="0"/>
          <w:lang w:val="en-US"/>
        </w:rPr>
        <w:t>s Commitment</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To uphold equality, fairness, and dignity for all, Choreography To Go commits to:</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Raising awareness of equality and diversity across all programmes</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Ensuring no individual is discriminated against or treated less favourably due to a protected characteristic</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Addressing, investigating, and resolving issues relating to discrimination, harassment, or victimisation sensitively and promptly</w:t>
      </w:r>
    </w:p>
    <w:p>
      <w:pPr>
        <w:pStyle w:val="Default"/>
        <w:bidi w:val="0"/>
        <w:spacing w:before="0" w:line="240" w:lineRule="auto"/>
        <w:ind w:left="0" w:right="0" w:firstLine="0"/>
        <w:jc w:val="left"/>
        <w:rPr>
          <w:rFonts w:ascii="Arial" w:cs="Arial" w:hAnsi="Arial" w:eastAsia="Arial"/>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Your Responsibilities</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Every learner plays an important role in ensuring the success of this policy. You are expected to contribute positively by:</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Avoiding any unlawful discriminatory actions</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Not harassing, intimidating, or abusing others based on protected characteristics</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Not pressuring others to behave in a discriminatory manner</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Reporting any discriminatory behaviour you experience or witness</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Cooperating fully with any investigation, providing honest and accurate information</w:t>
      </w:r>
    </w:p>
    <w:p>
      <w:pPr>
        <w:pStyle w:val="Default"/>
        <w:numPr>
          <w:ilvl w:val="0"/>
          <w:numId w:val="2"/>
        </w:numPr>
        <w:bidi w:val="0"/>
        <w:spacing w:before="0" w:after="240" w:line="240" w:lineRule="auto"/>
        <w:ind w:right="0"/>
        <w:jc w:val="left"/>
        <w:rPr>
          <w:rFonts w:ascii="Arial" w:hAnsi="Arial"/>
          <w:rtl w:val="0"/>
          <w:lang w:val="en-US"/>
        </w:rPr>
      </w:pPr>
      <w:r>
        <w:rPr>
          <w:rFonts w:ascii="Arial" w:hAnsi="Arial"/>
          <w:rtl w:val="0"/>
          <w:lang w:val="en-US"/>
        </w:rPr>
        <w:t>Supporting any measures introduced to promote or monitor equality and diversity</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 xml:space="preserve">Discrimination may occur through </w:t>
      </w:r>
      <w:r>
        <w:rPr>
          <w:rFonts w:ascii="Arial" w:hAnsi="Arial"/>
          <w:b w:val="1"/>
          <w:bCs w:val="1"/>
          <w:rtl w:val="0"/>
          <w:lang w:val="en-US"/>
        </w:rPr>
        <w:t>direct behaviour</w:t>
      </w:r>
      <w:r>
        <w:rPr>
          <w:rFonts w:ascii="Arial" w:hAnsi="Arial"/>
          <w:rtl w:val="0"/>
        </w:rPr>
        <w:t xml:space="preserve">, </w:t>
      </w:r>
      <w:r>
        <w:rPr>
          <w:rFonts w:ascii="Arial" w:hAnsi="Arial"/>
          <w:b w:val="1"/>
          <w:bCs w:val="1"/>
          <w:rtl w:val="0"/>
          <w:lang w:val="fr-FR"/>
        </w:rPr>
        <w:t>association</w:t>
      </w:r>
      <w:r>
        <w:rPr>
          <w:rFonts w:ascii="Arial" w:hAnsi="Arial"/>
          <w:rtl w:val="0"/>
          <w:lang w:val="en-US"/>
        </w:rPr>
        <w:t xml:space="preserve">, or </w:t>
      </w:r>
      <w:r>
        <w:rPr>
          <w:rFonts w:ascii="Arial" w:hAnsi="Arial"/>
          <w:b w:val="1"/>
          <w:bCs w:val="1"/>
          <w:rtl w:val="0"/>
          <w:lang w:val="en-US"/>
        </w:rPr>
        <w:t>perceived characteristics</w:t>
      </w:r>
      <w:r>
        <w:rPr>
          <w:rFonts w:ascii="Arial" w:hAnsi="Arial"/>
          <w:rtl w:val="0"/>
          <w:lang w:val="en-US"/>
        </w:rPr>
        <w:t>, even when the assumption is incorrect.</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We expect all learners and staff to treat one another</w:t>
      </w:r>
      <w:r>
        <w:rPr>
          <w:rFonts w:ascii="Arial" w:hAnsi="Arial" w:hint="default"/>
          <w:rtl w:val="0"/>
          <w:lang w:val="en-US"/>
        </w:rPr>
        <w:t>—</w:t>
      </w:r>
      <w:r>
        <w:rPr>
          <w:rFonts w:ascii="Arial" w:hAnsi="Arial"/>
          <w:rtl w:val="0"/>
          <w:lang w:val="en-US"/>
        </w:rPr>
        <w:t>and anyone connected to our organisation</w:t>
      </w:r>
      <w:r>
        <w:rPr>
          <w:rFonts w:ascii="Arial" w:hAnsi="Arial" w:hint="default"/>
          <w:rtl w:val="0"/>
          <w:lang w:val="en-US"/>
        </w:rPr>
        <w:t>—</w:t>
      </w:r>
      <w:r>
        <w:rPr>
          <w:rFonts w:ascii="Arial" w:hAnsi="Arial"/>
          <w:rtl w:val="0"/>
          <w:lang w:val="en-US"/>
        </w:rPr>
        <w:t>with respect, professionalism, and courtesy at all times.</w:t>
      </w:r>
    </w:p>
    <w:p>
      <w:pPr>
        <w:pStyle w:val="Default"/>
        <w:bidi w:val="0"/>
        <w:spacing w:before="0" w:line="240" w:lineRule="auto"/>
        <w:ind w:left="0" w:right="0" w:firstLine="0"/>
        <w:jc w:val="left"/>
        <w:rPr>
          <w:rFonts w:ascii="Arial" w:cs="Arial" w:hAnsi="Arial" w:eastAsia="Arial"/>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If You Experience Discrimination</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If you believe you have been subjected to discrimination as described in this policy, the following steps are recommended:</w:t>
      </w:r>
    </w:p>
    <w:p>
      <w:pPr>
        <w:pStyle w:val="Default"/>
        <w:numPr>
          <w:ilvl w:val="0"/>
          <w:numId w:val="4"/>
        </w:numPr>
        <w:bidi w:val="0"/>
        <w:spacing w:before="0" w:after="240" w:line="240" w:lineRule="auto"/>
        <w:ind w:right="0"/>
        <w:jc w:val="left"/>
        <w:rPr>
          <w:rFonts w:ascii="Arial" w:hAnsi="Arial"/>
          <w:rtl w:val="0"/>
          <w:lang w:val="en-US"/>
        </w:rPr>
      </w:pPr>
      <w:r>
        <w:rPr>
          <w:rFonts w:ascii="Arial" w:hAnsi="Arial"/>
          <w:b w:val="1"/>
          <w:bCs w:val="1"/>
          <w:rtl w:val="0"/>
          <w:lang w:val="en-US"/>
        </w:rPr>
        <w:t>Address the issue directly</w:t>
      </w:r>
      <w:r>
        <w:rPr>
          <w:rFonts w:ascii="Arial" w:hAnsi="Arial"/>
          <w:rtl w:val="0"/>
          <w:lang w:val="en-US"/>
        </w:rPr>
        <w:t>, if you feel safe to do so. A clear conversation at an early stage can often resolve misunderstandings.</w:t>
      </w:r>
    </w:p>
    <w:p>
      <w:pPr>
        <w:pStyle w:val="Default"/>
        <w:numPr>
          <w:ilvl w:val="0"/>
          <w:numId w:val="4"/>
        </w:numPr>
        <w:bidi w:val="0"/>
        <w:spacing w:before="0" w:after="240" w:line="240" w:lineRule="auto"/>
        <w:ind w:right="0"/>
        <w:jc w:val="left"/>
        <w:rPr>
          <w:rFonts w:ascii="Arial" w:hAnsi="Arial"/>
          <w:rtl w:val="0"/>
          <w:lang w:val="en-US"/>
        </w:rPr>
      </w:pPr>
      <w:r>
        <w:rPr>
          <w:rFonts w:ascii="Arial" w:hAnsi="Arial"/>
          <w:b w:val="1"/>
          <w:bCs w:val="1"/>
          <w:rtl w:val="0"/>
          <w:lang w:val="en-US"/>
        </w:rPr>
        <w:t>Seek support</w:t>
      </w:r>
      <w:r>
        <w:rPr>
          <w:rFonts w:ascii="Arial" w:hAnsi="Arial"/>
          <w:rtl w:val="0"/>
          <w:lang w:val="en-US"/>
        </w:rPr>
        <w:t xml:space="preserve"> from a trusted colleague, fellow learner, or staff member who may be able to speak with the individual on your behalf.</w:t>
      </w:r>
    </w:p>
    <w:p>
      <w:pPr>
        <w:pStyle w:val="Default"/>
        <w:numPr>
          <w:ilvl w:val="0"/>
          <w:numId w:val="4"/>
        </w:numPr>
        <w:bidi w:val="0"/>
        <w:spacing w:before="0" w:after="240" w:line="240" w:lineRule="auto"/>
        <w:ind w:right="0"/>
        <w:jc w:val="left"/>
        <w:rPr>
          <w:rFonts w:ascii="Arial" w:hAnsi="Arial"/>
          <w:rtl w:val="0"/>
          <w:lang w:val="en-US"/>
        </w:rPr>
      </w:pPr>
      <w:r>
        <w:rPr>
          <w:rFonts w:ascii="Arial" w:hAnsi="Arial"/>
          <w:rtl w:val="0"/>
          <w:lang w:val="en-US"/>
        </w:rPr>
        <w:t xml:space="preserve">If the issue continues or is serious in nature, </w:t>
      </w:r>
      <w:r>
        <w:rPr>
          <w:rFonts w:ascii="Arial" w:hAnsi="Arial"/>
          <w:b w:val="1"/>
          <w:bCs w:val="1"/>
          <w:rtl w:val="0"/>
          <w:lang w:val="en-US"/>
        </w:rPr>
        <w:t>report it</w:t>
      </w:r>
      <w:r>
        <w:rPr>
          <w:rFonts w:ascii="Arial" w:hAnsi="Arial"/>
          <w:rtl w:val="0"/>
          <w:lang w:val="en-US"/>
        </w:rPr>
        <w:t xml:space="preserve"> to your tutor or assessor.</w:t>
      </w:r>
    </w:p>
    <w:p>
      <w:pPr>
        <w:pStyle w:val="Default"/>
        <w:numPr>
          <w:ilvl w:val="0"/>
          <w:numId w:val="4"/>
        </w:numPr>
        <w:bidi w:val="0"/>
        <w:spacing w:before="0" w:after="240" w:line="240" w:lineRule="auto"/>
        <w:ind w:right="0"/>
        <w:jc w:val="left"/>
        <w:rPr>
          <w:rFonts w:ascii="Arial" w:hAnsi="Arial"/>
          <w:rtl w:val="0"/>
          <w:lang w:val="en-US"/>
        </w:rPr>
      </w:pPr>
      <w:r>
        <w:rPr>
          <w:rFonts w:ascii="Arial" w:hAnsi="Arial"/>
          <w:rtl w:val="0"/>
          <w:lang w:val="en-US"/>
        </w:rPr>
        <w:t>If the tutor or assessor is involved in the concern, escalate to their line manager or the designated internal verifier.</w:t>
      </w:r>
    </w:p>
    <w:p>
      <w:pPr>
        <w:pStyle w:val="Default"/>
        <w:numPr>
          <w:ilvl w:val="0"/>
          <w:numId w:val="4"/>
        </w:numPr>
        <w:bidi w:val="0"/>
        <w:spacing w:before="0" w:after="240" w:line="240" w:lineRule="auto"/>
        <w:ind w:right="0"/>
        <w:jc w:val="left"/>
        <w:rPr>
          <w:rFonts w:ascii="Arial" w:hAnsi="Arial"/>
          <w:rtl w:val="0"/>
          <w:lang w:val="en-US"/>
        </w:rPr>
      </w:pPr>
      <w:r>
        <w:rPr>
          <w:rFonts w:ascii="Arial" w:hAnsi="Arial"/>
          <w:rtl w:val="0"/>
          <w:lang w:val="en-US"/>
        </w:rPr>
        <w:t>The staff member you contact will conduct an appropriate investigation or refer the matter to the correct person within the company.</w:t>
      </w:r>
    </w:p>
    <w:p>
      <w:pPr>
        <w:pStyle w:val="Default"/>
        <w:numPr>
          <w:ilvl w:val="0"/>
          <w:numId w:val="4"/>
        </w:numPr>
        <w:bidi w:val="0"/>
        <w:spacing w:before="0" w:after="240" w:line="240" w:lineRule="auto"/>
        <w:ind w:right="0"/>
        <w:jc w:val="left"/>
        <w:rPr>
          <w:rFonts w:ascii="Arial" w:hAnsi="Arial"/>
          <w:rtl w:val="0"/>
          <w:lang w:val="en-US"/>
        </w:rPr>
      </w:pPr>
      <w:r>
        <w:rPr>
          <w:rFonts w:ascii="Arial" w:hAnsi="Arial"/>
          <w:rtl w:val="0"/>
          <w:lang w:val="en-US"/>
        </w:rPr>
        <w:t>You will be informed of the outcome of the investigation and any actions taken.</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 xml:space="preserve">If you are not satisfied with the outcome, you may </w:t>
      </w:r>
      <w:r>
        <w:rPr>
          <w:rFonts w:ascii="Arial" w:hAnsi="Arial"/>
          <w:b w:val="1"/>
          <w:bCs w:val="1"/>
          <w:rtl w:val="0"/>
          <w:lang w:val="en-US"/>
        </w:rPr>
        <w:t>appeal within five working days</w:t>
      </w:r>
      <w:r>
        <w:rPr>
          <w:rFonts w:ascii="Arial" w:hAnsi="Arial"/>
          <w:rtl w:val="0"/>
          <w:lang w:val="en-US"/>
        </w:rPr>
        <w:t xml:space="preserve"> by contacting:</w:t>
      </w:r>
      <w:r>
        <w:rPr>
          <w:rFonts w:ascii="Arial" w:cs="Arial" w:hAnsi="Arial" w:eastAsia="Arial"/>
          <w:rtl w:val="0"/>
        </w:rPr>
        <w:br w:type="textWrapping"/>
      </w:r>
      <w:r>
        <w:rPr>
          <w:rFonts w:ascii="Arial" w:hAnsi="Arial"/>
          <w:b w:val="1"/>
          <w:bCs w:val="1"/>
          <w:rtl w:val="0"/>
          <w:lang w:val="en-US"/>
        </w:rPr>
        <w:t>Rachel@choreographytogo.com</w:t>
      </w:r>
      <w:r>
        <w:rPr>
          <w:rFonts w:ascii="Arial" w:cs="Arial" w:hAnsi="Arial" w:eastAsia="Arial"/>
          <w:rtl w:val="0"/>
        </w:rPr>
        <w:br w:type="textWrapping"/>
      </w:r>
      <w:r>
        <w:rPr>
          <w:rFonts w:ascii="Arial" w:hAnsi="Arial"/>
          <w:rtl w:val="0"/>
          <w:lang w:val="en-US"/>
        </w:rPr>
        <w:t>Your case will then be reviewed by the relevant internal verifier.</w:t>
      </w:r>
    </w:p>
    <w:p>
      <w:pPr>
        <w:pStyle w:val="Default"/>
        <w:bidi w:val="0"/>
        <w:spacing w:before="0" w:line="240" w:lineRule="auto"/>
        <w:ind w:left="0" w:right="0" w:firstLine="0"/>
        <w:jc w:val="left"/>
        <w:rPr>
          <w:rFonts w:ascii="Arial" w:cs="Arial" w:hAnsi="Arial" w:eastAsia="Arial"/>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Thank you for your contribution and commitment to supporting and upholding this policy.</w:t>
      </w:r>
    </w:p>
    <w:p>
      <w:pPr>
        <w:pStyle w:val="Default"/>
        <w:bidi w:val="0"/>
        <w:spacing w:before="0" w:after="240" w:line="240" w:lineRule="auto"/>
        <w:ind w:left="0" w:right="0" w:firstLine="0"/>
        <w:jc w:val="left"/>
        <w:rPr>
          <w:rFonts w:ascii="Arial" w:cs="Arial" w:hAnsi="Arial" w:eastAsia="Arial"/>
          <w:rtl w:val="0"/>
        </w:rPr>
      </w:pPr>
      <w:r>
        <w:rPr>
          <w:rFonts w:ascii="Arial" w:hAnsi="Arial"/>
          <w:b w:val="1"/>
          <w:bCs w:val="1"/>
          <w:rtl w:val="0"/>
        </w:rPr>
        <w:t>Rachel L Holmes</w:t>
      </w:r>
      <w:r>
        <w:rPr>
          <w:rFonts w:ascii="Arial" w:cs="Arial" w:hAnsi="Arial" w:eastAsia="Arial"/>
          <w:rtl w:val="0"/>
        </w:rPr>
        <w:br w:type="textWrapping"/>
      </w:r>
      <w:r>
        <w:rPr>
          <w:rFonts w:ascii="Arial" w:hAnsi="Arial"/>
          <w:rtl w:val="0"/>
        </w:rPr>
        <w:t>24 November 2025</w:t>
      </w:r>
    </w:p>
    <w:p>
      <w:pPr>
        <w:pStyle w:val="Default"/>
        <w:bidi w:val="0"/>
        <w:spacing w:before="0" w:after="240" w:line="240" w:lineRule="auto"/>
        <w:ind w:left="0" w:right="0" w:firstLine="0"/>
        <w:jc w:val="left"/>
        <w:rPr>
          <w:rFonts w:ascii="Arial" w:cs="Arial" w:hAnsi="Arial" w:eastAsia="Arial"/>
          <w:u w:color="000000"/>
          <w:rtl w:val="0"/>
          <w:lang w:val="en-US"/>
        </w:rPr>
      </w:pPr>
    </w:p>
    <w:p>
      <w:pPr>
        <w:pStyle w:val="Body"/>
        <w:widowControl w:val="1"/>
        <w:tabs>
          <w:tab w:val="left" w:pos="504"/>
          <w:tab w:val="left" w:pos="1008"/>
        </w:tabs>
        <w:jc w:val="both"/>
        <w:rPr>
          <w:rFonts w:ascii="Arial" w:cs="Arial" w:hAnsi="Arial" w:eastAsia="Arial"/>
          <w:lang w:val="en-US"/>
        </w:rPr>
      </w:pPr>
    </w:p>
    <w:p>
      <w:pPr>
        <w:pStyle w:val="Body"/>
        <w:widowControl w:val="1"/>
        <w:tabs>
          <w:tab w:val="left" w:pos="504"/>
          <w:tab w:val="left" w:pos="1008"/>
        </w:tabs>
        <w:jc w:val="both"/>
        <w:rPr>
          <w:rFonts w:ascii="Arial" w:cs="Arial" w:hAnsi="Arial" w:eastAsia="Arial"/>
          <w:lang w:val="en-US"/>
        </w:rPr>
      </w:pPr>
    </w:p>
    <w:p>
      <w:pPr>
        <w:pStyle w:val="Body"/>
        <w:widowControl w:val="1"/>
        <w:tabs>
          <w:tab w:val="left" w:pos="504"/>
          <w:tab w:val="left" w:pos="1008"/>
        </w:tabs>
        <w:jc w:val="both"/>
      </w:pPr>
      <w:r>
        <w:rPr>
          <w:rFonts w:ascii="Arial" w:cs="Arial" w:hAnsi="Arial" w:eastAsia="Arial"/>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 w:type="numbering" w:styleId="Numbered">
    <w:name w:val="Numbered"/>
    <w:pPr>
      <w:numPr>
        <w:numId w:val="3"/>
      </w:numPr>
    </w:p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